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B85" w:rsidRDefault="00BE1B85" w:rsidP="00BE1B85">
      <w:pPr>
        <w:pStyle w:val="TableText"/>
      </w:pPr>
      <w:bookmarkStart w:id="0" w:name="_GoBack"/>
      <w:bookmarkEnd w:id="0"/>
    </w:p>
    <w:p w:rsidR="00BE1B85" w:rsidRDefault="00BE1B85" w:rsidP="00BE1B85"/>
    <w:p w:rsidR="00BE1B85" w:rsidRDefault="00BE1B85" w:rsidP="00BE1B85"/>
    <w:p w:rsidR="00BE1B85" w:rsidRDefault="00BE1B85" w:rsidP="00BE1B85"/>
    <w:p w:rsidR="00BE1B85" w:rsidRDefault="00BE1B85" w:rsidP="00BE1B85"/>
    <w:p w:rsidR="00BE1B85" w:rsidRDefault="00BE1B85" w:rsidP="00BE1B85">
      <w:pPr>
        <w:rPr>
          <w:b/>
        </w:rPr>
      </w:pPr>
    </w:p>
    <w:tbl>
      <w:tblPr>
        <w:tblW w:w="9930" w:type="dxa"/>
        <w:tblInd w:w="-34" w:type="dxa"/>
        <w:tblLayout w:type="fixed"/>
        <w:tblLook w:val="04A0" w:firstRow="1" w:lastRow="0" w:firstColumn="1" w:lastColumn="0" w:noHBand="0" w:noVBand="1"/>
      </w:tblPr>
      <w:tblGrid>
        <w:gridCol w:w="1703"/>
        <w:gridCol w:w="1418"/>
        <w:gridCol w:w="2837"/>
        <w:gridCol w:w="2412"/>
        <w:gridCol w:w="1560"/>
      </w:tblGrid>
      <w:tr w:rsidR="00BE1B85" w:rsidTr="00BE1B85">
        <w:trPr>
          <w:cantSplit/>
        </w:trPr>
        <w:tc>
          <w:tcPr>
            <w:tcW w:w="1702" w:type="dxa"/>
            <w:hideMark/>
          </w:tcPr>
          <w:p w:rsidR="00BE1B85" w:rsidRDefault="00BE1B85" w:rsidP="008C3879">
            <w:pPr>
              <w:pStyle w:val="TableText"/>
            </w:pPr>
            <w:r>
              <w:t>SOP Number</w:t>
            </w:r>
          </w:p>
        </w:tc>
        <w:tc>
          <w:tcPr>
            <w:tcW w:w="8221" w:type="dxa"/>
            <w:gridSpan w:val="4"/>
            <w:hideMark/>
          </w:tcPr>
          <w:p w:rsidR="00BE1B85" w:rsidRDefault="00BE1B85" w:rsidP="008C3879">
            <w:pPr>
              <w:pStyle w:val="TableText"/>
              <w:rPr>
                <w:highlight w:val="yellow"/>
              </w:rPr>
            </w:pPr>
            <w:r>
              <w:rPr>
                <w:highlight w:val="yellow"/>
              </w:rPr>
              <w:t>Insert Number</w:t>
            </w:r>
          </w:p>
        </w:tc>
      </w:tr>
      <w:tr w:rsidR="00BE1B85" w:rsidTr="00BE1B85">
        <w:trPr>
          <w:cantSplit/>
          <w:trHeight w:hRule="exact" w:val="851"/>
        </w:trPr>
        <w:tc>
          <w:tcPr>
            <w:tcW w:w="1702" w:type="dxa"/>
            <w:hideMark/>
          </w:tcPr>
          <w:p w:rsidR="00BE1B85" w:rsidRDefault="00BE1B85" w:rsidP="008C3879">
            <w:pPr>
              <w:pStyle w:val="TableText"/>
            </w:pPr>
            <w:r>
              <w:t>SOP Title</w:t>
            </w:r>
          </w:p>
        </w:tc>
        <w:tc>
          <w:tcPr>
            <w:tcW w:w="8221" w:type="dxa"/>
            <w:gridSpan w:val="4"/>
            <w:hideMark/>
          </w:tcPr>
          <w:p w:rsidR="00BE1B85" w:rsidRDefault="00BE1B85" w:rsidP="008C3879">
            <w:pPr>
              <w:pStyle w:val="TableText"/>
            </w:pPr>
            <w:r>
              <w:t>Case Report Form Completion</w:t>
            </w:r>
          </w:p>
        </w:tc>
      </w:tr>
      <w:tr w:rsidR="00BE1B85" w:rsidTr="00BE1B85">
        <w:tc>
          <w:tcPr>
            <w:tcW w:w="1702" w:type="dxa"/>
            <w:tcBorders>
              <w:top w:val="nil"/>
              <w:left w:val="nil"/>
              <w:bottom w:val="single" w:sz="4" w:space="0" w:color="auto"/>
              <w:right w:val="single" w:sz="4" w:space="0" w:color="auto"/>
            </w:tcBorders>
          </w:tcPr>
          <w:p w:rsidR="00BE1B85" w:rsidRDefault="00BE1B85" w:rsidP="008C3879">
            <w:pPr>
              <w:pStyle w:val="TableText"/>
            </w:pPr>
          </w:p>
        </w:tc>
        <w:tc>
          <w:tcPr>
            <w:tcW w:w="1417" w:type="dxa"/>
            <w:tcBorders>
              <w:top w:val="single" w:sz="4" w:space="0" w:color="auto"/>
              <w:left w:val="nil"/>
              <w:bottom w:val="single" w:sz="4" w:space="0" w:color="auto"/>
              <w:right w:val="single" w:sz="4" w:space="0" w:color="auto"/>
            </w:tcBorders>
            <w:hideMark/>
          </w:tcPr>
          <w:p w:rsidR="00BE1B85" w:rsidRDefault="00BE1B85" w:rsidP="008C3879">
            <w:pPr>
              <w:pStyle w:val="TableText"/>
            </w:pPr>
            <w:r>
              <w:t xml:space="preserve">NAME </w:t>
            </w:r>
          </w:p>
        </w:tc>
        <w:tc>
          <w:tcPr>
            <w:tcW w:w="2835" w:type="dxa"/>
            <w:tcBorders>
              <w:top w:val="single" w:sz="4" w:space="0" w:color="auto"/>
              <w:left w:val="nil"/>
              <w:bottom w:val="single" w:sz="4" w:space="0" w:color="auto"/>
              <w:right w:val="single" w:sz="4" w:space="0" w:color="auto"/>
            </w:tcBorders>
            <w:hideMark/>
          </w:tcPr>
          <w:p w:rsidR="00BE1B85" w:rsidRDefault="00BE1B85" w:rsidP="008C3879">
            <w:pPr>
              <w:pStyle w:val="TableText"/>
            </w:pPr>
            <w:r>
              <w:t>TITLE</w:t>
            </w:r>
          </w:p>
        </w:tc>
        <w:tc>
          <w:tcPr>
            <w:tcW w:w="2410" w:type="dxa"/>
            <w:tcBorders>
              <w:top w:val="single" w:sz="4" w:space="0" w:color="auto"/>
              <w:left w:val="single" w:sz="4" w:space="0" w:color="auto"/>
              <w:bottom w:val="single" w:sz="4" w:space="0" w:color="auto"/>
              <w:right w:val="single" w:sz="4" w:space="0" w:color="auto"/>
            </w:tcBorders>
            <w:hideMark/>
          </w:tcPr>
          <w:p w:rsidR="00BE1B85" w:rsidRDefault="00BE1B85" w:rsidP="008C3879">
            <w:pPr>
              <w:pStyle w:val="TableText"/>
            </w:pPr>
            <w:r>
              <w:t>SIGNATURE</w:t>
            </w:r>
          </w:p>
        </w:tc>
        <w:tc>
          <w:tcPr>
            <w:tcW w:w="1559" w:type="dxa"/>
            <w:tcBorders>
              <w:top w:val="single" w:sz="4" w:space="0" w:color="auto"/>
              <w:left w:val="single" w:sz="4" w:space="0" w:color="auto"/>
              <w:bottom w:val="single" w:sz="4" w:space="0" w:color="auto"/>
              <w:right w:val="single" w:sz="4" w:space="0" w:color="auto"/>
            </w:tcBorders>
            <w:hideMark/>
          </w:tcPr>
          <w:p w:rsidR="00BE1B85" w:rsidRDefault="00BE1B85" w:rsidP="008C3879">
            <w:pPr>
              <w:pStyle w:val="TableText"/>
            </w:pPr>
            <w:r>
              <w:t>DATE</w:t>
            </w:r>
          </w:p>
        </w:tc>
      </w:tr>
      <w:tr w:rsidR="00BE1B85" w:rsidTr="00BE1B85">
        <w:trPr>
          <w:trHeight w:val="567"/>
        </w:trPr>
        <w:tc>
          <w:tcPr>
            <w:tcW w:w="1702" w:type="dxa"/>
            <w:tcBorders>
              <w:top w:val="single" w:sz="4" w:space="0" w:color="auto"/>
              <w:left w:val="single" w:sz="4" w:space="0" w:color="auto"/>
              <w:bottom w:val="single" w:sz="4" w:space="0" w:color="auto"/>
              <w:right w:val="single" w:sz="4" w:space="0" w:color="auto"/>
            </w:tcBorders>
            <w:hideMark/>
          </w:tcPr>
          <w:p w:rsidR="00BE1B85" w:rsidRDefault="00BE1B85" w:rsidP="008C3879">
            <w:pPr>
              <w:pStyle w:val="TableText"/>
            </w:pPr>
            <w:r>
              <w:t>Author</w:t>
            </w:r>
          </w:p>
        </w:tc>
        <w:tc>
          <w:tcPr>
            <w:tcW w:w="1417"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2835"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2410"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1559"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r>
      <w:tr w:rsidR="00BE1B85" w:rsidTr="00BE1B85">
        <w:trPr>
          <w:trHeight w:val="567"/>
        </w:trPr>
        <w:tc>
          <w:tcPr>
            <w:tcW w:w="1702" w:type="dxa"/>
            <w:tcBorders>
              <w:top w:val="single" w:sz="4" w:space="0" w:color="auto"/>
              <w:left w:val="single" w:sz="4" w:space="0" w:color="auto"/>
              <w:bottom w:val="single" w:sz="4" w:space="0" w:color="auto"/>
              <w:right w:val="single" w:sz="4" w:space="0" w:color="auto"/>
            </w:tcBorders>
            <w:hideMark/>
          </w:tcPr>
          <w:p w:rsidR="00BE1B85" w:rsidRDefault="00BE1B85" w:rsidP="008C3879">
            <w:pPr>
              <w:pStyle w:val="TableText"/>
            </w:pPr>
            <w:r>
              <w:t>Reviewer</w:t>
            </w:r>
          </w:p>
        </w:tc>
        <w:tc>
          <w:tcPr>
            <w:tcW w:w="1417"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2835"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2410"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1559"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r>
      <w:tr w:rsidR="00BE1B85" w:rsidTr="00BE1B85">
        <w:trPr>
          <w:trHeight w:val="567"/>
        </w:trPr>
        <w:tc>
          <w:tcPr>
            <w:tcW w:w="1702" w:type="dxa"/>
            <w:tcBorders>
              <w:top w:val="single" w:sz="4" w:space="0" w:color="auto"/>
              <w:left w:val="single" w:sz="4" w:space="0" w:color="auto"/>
              <w:bottom w:val="single" w:sz="4" w:space="0" w:color="auto"/>
              <w:right w:val="single" w:sz="4" w:space="0" w:color="auto"/>
            </w:tcBorders>
            <w:hideMark/>
          </w:tcPr>
          <w:p w:rsidR="00BE1B85" w:rsidRDefault="00BE1B85" w:rsidP="008C3879">
            <w:pPr>
              <w:pStyle w:val="TableText"/>
            </w:pPr>
            <w:r>
              <w:t>Authoriser</w:t>
            </w:r>
          </w:p>
        </w:tc>
        <w:tc>
          <w:tcPr>
            <w:tcW w:w="1417" w:type="dxa"/>
            <w:tcBorders>
              <w:top w:val="single" w:sz="4" w:space="0" w:color="auto"/>
              <w:left w:val="nil"/>
              <w:bottom w:val="single" w:sz="4" w:space="0" w:color="auto"/>
              <w:right w:val="single" w:sz="4" w:space="0" w:color="auto"/>
            </w:tcBorders>
          </w:tcPr>
          <w:p w:rsidR="00BE1B85" w:rsidRPr="008C3879" w:rsidRDefault="00BE1B85" w:rsidP="008C3879">
            <w:pPr>
              <w:pStyle w:val="TableText"/>
              <w:rPr>
                <w:b w:val="0"/>
              </w:rPr>
            </w:pPr>
          </w:p>
        </w:tc>
        <w:tc>
          <w:tcPr>
            <w:tcW w:w="2835" w:type="dxa"/>
            <w:tcBorders>
              <w:top w:val="single" w:sz="4" w:space="0" w:color="auto"/>
              <w:left w:val="nil"/>
              <w:bottom w:val="single" w:sz="4" w:space="0" w:color="auto"/>
              <w:right w:val="single" w:sz="4" w:space="0" w:color="auto"/>
            </w:tcBorders>
          </w:tcPr>
          <w:p w:rsidR="00BE1B85" w:rsidRPr="008C3879" w:rsidRDefault="00BE1B85" w:rsidP="008C3879">
            <w:pPr>
              <w:pStyle w:val="TableText"/>
              <w:rPr>
                <w:b w:val="0"/>
              </w:rPr>
            </w:pPr>
          </w:p>
        </w:tc>
        <w:tc>
          <w:tcPr>
            <w:tcW w:w="2410"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1559"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r>
    </w:tbl>
    <w:p w:rsidR="00BE1B85" w:rsidRDefault="00BE1B85" w:rsidP="008C3879">
      <w:pPr>
        <w:pStyle w:val="TableText"/>
        <w:rPr>
          <w:szCs w:val="20"/>
        </w:rPr>
      </w:pPr>
    </w:p>
    <w:p w:rsidR="00BE1B85" w:rsidRDefault="00BE1B85" w:rsidP="008C3879">
      <w:pPr>
        <w:pStyle w:val="TableText"/>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2554"/>
        <w:gridCol w:w="1560"/>
      </w:tblGrid>
      <w:tr w:rsidR="00BE1B85" w:rsidTr="00BE1B85">
        <w:trPr>
          <w:cantSplit/>
          <w:trHeight w:val="397"/>
        </w:trPr>
        <w:tc>
          <w:tcPr>
            <w:tcW w:w="5812" w:type="dxa"/>
            <w:tcBorders>
              <w:top w:val="nil"/>
              <w:left w:val="nil"/>
              <w:bottom w:val="nil"/>
              <w:right w:val="single" w:sz="4" w:space="0" w:color="auto"/>
            </w:tcBorders>
            <w:vAlign w:val="center"/>
          </w:tcPr>
          <w:p w:rsidR="00BE1B85" w:rsidRDefault="00BE1B85" w:rsidP="008C3879">
            <w:pPr>
              <w:pStyle w:val="TableText"/>
            </w:pPr>
          </w:p>
        </w:tc>
        <w:tc>
          <w:tcPr>
            <w:tcW w:w="2552" w:type="dxa"/>
            <w:tcBorders>
              <w:top w:val="single" w:sz="4" w:space="0" w:color="auto"/>
              <w:left w:val="nil"/>
              <w:bottom w:val="single" w:sz="4" w:space="0" w:color="auto"/>
              <w:right w:val="single" w:sz="4" w:space="0" w:color="auto"/>
            </w:tcBorders>
            <w:vAlign w:val="center"/>
            <w:hideMark/>
          </w:tcPr>
          <w:p w:rsidR="00BE1B85" w:rsidRDefault="00BE1B85" w:rsidP="008C3879">
            <w:pPr>
              <w:pStyle w:val="TableText"/>
            </w:pPr>
            <w:r>
              <w:t>Effective Date:</w:t>
            </w:r>
          </w:p>
        </w:tc>
        <w:tc>
          <w:tcPr>
            <w:tcW w:w="1559" w:type="dxa"/>
            <w:tcBorders>
              <w:top w:val="single" w:sz="4" w:space="0" w:color="auto"/>
              <w:left w:val="single" w:sz="4" w:space="0" w:color="auto"/>
              <w:bottom w:val="single" w:sz="4" w:space="0" w:color="auto"/>
              <w:right w:val="single" w:sz="4" w:space="0" w:color="auto"/>
            </w:tcBorders>
            <w:vAlign w:val="center"/>
          </w:tcPr>
          <w:p w:rsidR="00BE1B85" w:rsidRPr="008C3879" w:rsidRDefault="00BE1B85" w:rsidP="008C3879">
            <w:pPr>
              <w:pStyle w:val="TableText"/>
              <w:rPr>
                <w:b w:val="0"/>
                <w:bCs/>
              </w:rPr>
            </w:pPr>
          </w:p>
        </w:tc>
      </w:tr>
    </w:tbl>
    <w:p w:rsidR="00BE1B85" w:rsidRDefault="00BE1B85" w:rsidP="008C3879">
      <w:pPr>
        <w:pStyle w:val="TableText"/>
        <w:rPr>
          <w:szCs w:val="20"/>
        </w:rPr>
      </w:pPr>
    </w:p>
    <w:p w:rsidR="00BE1B85" w:rsidRDefault="00BE1B85" w:rsidP="008C3879">
      <w:pPr>
        <w:pStyle w:val="TableText"/>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831"/>
        <w:gridCol w:w="2411"/>
        <w:gridCol w:w="1277"/>
      </w:tblGrid>
      <w:tr w:rsidR="00BE1B85" w:rsidTr="00BE1B85">
        <w:trPr>
          <w:trHeight w:val="567"/>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BE1B85" w:rsidRDefault="00BE1B85" w:rsidP="008C3879">
            <w:pPr>
              <w:pStyle w:val="TableText"/>
            </w:pPr>
            <w:r>
              <w:t>READ BY</w:t>
            </w:r>
          </w:p>
        </w:tc>
      </w:tr>
      <w:tr w:rsidR="00BE1B85" w:rsidTr="00BE1B85">
        <w:tc>
          <w:tcPr>
            <w:tcW w:w="2410" w:type="dxa"/>
            <w:tcBorders>
              <w:top w:val="single" w:sz="4" w:space="0" w:color="auto"/>
              <w:left w:val="single" w:sz="4" w:space="0" w:color="auto"/>
              <w:bottom w:val="single" w:sz="4" w:space="0" w:color="auto"/>
              <w:right w:val="single" w:sz="4" w:space="0" w:color="auto"/>
            </w:tcBorders>
            <w:hideMark/>
          </w:tcPr>
          <w:p w:rsidR="00BE1B85" w:rsidRDefault="00BE1B85" w:rsidP="008C3879">
            <w:pPr>
              <w:pStyle w:val="TableText"/>
            </w:pPr>
            <w:r>
              <w:t xml:space="preserve">NAME </w:t>
            </w:r>
          </w:p>
        </w:tc>
        <w:tc>
          <w:tcPr>
            <w:tcW w:w="3828" w:type="dxa"/>
            <w:tcBorders>
              <w:top w:val="single" w:sz="4" w:space="0" w:color="auto"/>
              <w:left w:val="single" w:sz="4" w:space="0" w:color="auto"/>
              <w:bottom w:val="single" w:sz="4" w:space="0" w:color="auto"/>
              <w:right w:val="single" w:sz="4" w:space="0" w:color="auto"/>
            </w:tcBorders>
            <w:hideMark/>
          </w:tcPr>
          <w:p w:rsidR="00BE1B85" w:rsidRDefault="00BE1B85" w:rsidP="008C3879">
            <w:pPr>
              <w:pStyle w:val="TableText"/>
            </w:pPr>
            <w:r>
              <w:t>TITLE</w:t>
            </w:r>
          </w:p>
        </w:tc>
        <w:tc>
          <w:tcPr>
            <w:tcW w:w="2409" w:type="dxa"/>
            <w:tcBorders>
              <w:top w:val="single" w:sz="4" w:space="0" w:color="auto"/>
              <w:left w:val="single" w:sz="4" w:space="0" w:color="auto"/>
              <w:bottom w:val="single" w:sz="4" w:space="0" w:color="auto"/>
              <w:right w:val="single" w:sz="4" w:space="0" w:color="auto"/>
            </w:tcBorders>
            <w:hideMark/>
          </w:tcPr>
          <w:p w:rsidR="00BE1B85" w:rsidRDefault="00BE1B85" w:rsidP="008C3879">
            <w:pPr>
              <w:pStyle w:val="TableText"/>
            </w:pPr>
            <w:r>
              <w:t>SIGNATURE</w:t>
            </w:r>
          </w:p>
        </w:tc>
        <w:tc>
          <w:tcPr>
            <w:tcW w:w="1276" w:type="dxa"/>
            <w:tcBorders>
              <w:top w:val="single" w:sz="4" w:space="0" w:color="auto"/>
              <w:left w:val="single" w:sz="4" w:space="0" w:color="auto"/>
              <w:bottom w:val="single" w:sz="4" w:space="0" w:color="auto"/>
              <w:right w:val="single" w:sz="4" w:space="0" w:color="auto"/>
            </w:tcBorders>
            <w:hideMark/>
          </w:tcPr>
          <w:p w:rsidR="00BE1B85" w:rsidRDefault="00BE1B85" w:rsidP="008C3879">
            <w:pPr>
              <w:pStyle w:val="TableText"/>
            </w:pPr>
            <w:r>
              <w:t>DATE</w:t>
            </w:r>
          </w:p>
        </w:tc>
      </w:tr>
      <w:tr w:rsidR="00BE1B85" w:rsidTr="00BE1B85">
        <w:tc>
          <w:tcPr>
            <w:tcW w:w="2410"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3828"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2409"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1276"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r>
      <w:tr w:rsidR="00BE1B85" w:rsidTr="00BE1B85">
        <w:tc>
          <w:tcPr>
            <w:tcW w:w="2410"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3828"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2409"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1276"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r>
      <w:tr w:rsidR="00BE1B85" w:rsidTr="00BE1B85">
        <w:tc>
          <w:tcPr>
            <w:tcW w:w="2410"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3828"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2409"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1276"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r>
      <w:tr w:rsidR="00BE1B85" w:rsidTr="00BE1B85">
        <w:tc>
          <w:tcPr>
            <w:tcW w:w="2410"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3828"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2409"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1276"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r>
      <w:tr w:rsidR="00BE1B85" w:rsidTr="00BE1B85">
        <w:tc>
          <w:tcPr>
            <w:tcW w:w="2410"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3828"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2409"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1276"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r>
      <w:tr w:rsidR="00BE1B85" w:rsidTr="00BE1B85">
        <w:tc>
          <w:tcPr>
            <w:tcW w:w="2410"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3828"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2409"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c>
          <w:tcPr>
            <w:tcW w:w="1276" w:type="dxa"/>
            <w:tcBorders>
              <w:top w:val="single" w:sz="4" w:space="0" w:color="auto"/>
              <w:left w:val="single" w:sz="4" w:space="0" w:color="auto"/>
              <w:bottom w:val="single" w:sz="4" w:space="0" w:color="auto"/>
              <w:right w:val="single" w:sz="4" w:space="0" w:color="auto"/>
            </w:tcBorders>
          </w:tcPr>
          <w:p w:rsidR="00BE1B85" w:rsidRPr="008C3879" w:rsidRDefault="00BE1B85" w:rsidP="008C3879">
            <w:pPr>
              <w:pStyle w:val="TableText"/>
              <w:rPr>
                <w:b w:val="0"/>
              </w:rPr>
            </w:pPr>
          </w:p>
        </w:tc>
      </w:tr>
    </w:tbl>
    <w:p w:rsidR="00BE1B85" w:rsidRDefault="00BE1B85" w:rsidP="008C3879">
      <w:pPr>
        <w:pStyle w:val="TableText"/>
        <w:rPr>
          <w:szCs w:val="20"/>
        </w:rPr>
      </w:pPr>
    </w:p>
    <w:p w:rsidR="00BE1B85" w:rsidRDefault="00BE1B85" w:rsidP="00BE1B85">
      <w:pPr>
        <w:sectPr w:rsidR="00BE1B85" w:rsidSect="00DA10E1">
          <w:headerReference w:type="default" r:id="rId7"/>
          <w:footerReference w:type="default" r:id="rId8"/>
          <w:pgSz w:w="11906" w:h="16838" w:code="9"/>
          <w:pgMar w:top="1440" w:right="1174" w:bottom="1440" w:left="1174" w:header="675" w:footer="340" w:gutter="0"/>
          <w:cols w:space="720"/>
        </w:sectPr>
      </w:pPr>
    </w:p>
    <w:p w:rsidR="00BE1B85" w:rsidRDefault="00BE1B85" w:rsidP="00BE1B85">
      <w:pPr>
        <w:jc w:val="both"/>
      </w:pPr>
      <w:bookmarkStart w:id="1" w:name="_Toc525446010"/>
      <w:r>
        <w:rPr>
          <w:highlight w:val="yellow"/>
        </w:rPr>
        <w:lastRenderedPageBreak/>
        <w:t>This SOP has been written as an example which can be adapted for use in any department conducting clinical research where there are no SOPs in place.  The contents of the SOP should be reviewed in conjunction with the procedures which take place within the department and the text should be altered accordingly</w:t>
      </w:r>
      <w:r>
        <w:t>.</w:t>
      </w:r>
    </w:p>
    <w:p w:rsidR="00BE1B85" w:rsidRDefault="00BE1B85" w:rsidP="00BE1B85">
      <w:r>
        <w:rPr>
          <w:highlight w:val="yellow"/>
        </w:rPr>
        <w:t>Delete highlighted text before finalising the document.</w:t>
      </w:r>
    </w:p>
    <w:p w:rsidR="00BE1B85" w:rsidRDefault="00BE1B85" w:rsidP="00BE1B85">
      <w:pPr>
        <w:rPr>
          <w:rFonts w:cs="Arial"/>
          <w:szCs w:val="22"/>
        </w:rPr>
      </w:pPr>
    </w:p>
    <w:p w:rsidR="00BE1B85" w:rsidRDefault="00BE1B85" w:rsidP="008C3879">
      <w:pPr>
        <w:pStyle w:val="Heading1"/>
      </w:pPr>
      <w:r w:rsidRPr="008C3879">
        <w:t>purpose</w:t>
      </w:r>
      <w:bookmarkEnd w:id="1"/>
    </w:p>
    <w:p w:rsidR="00BE1B85" w:rsidRDefault="00BE1B85" w:rsidP="00BE1B85">
      <w:pPr>
        <w:pStyle w:val="NormalIndent"/>
      </w:pPr>
      <w:bookmarkStart w:id="2" w:name="_Toc525446011"/>
      <w:r>
        <w:t>The purpose of this Standard Operating Procedure (SOP) is to describe the standard procedures to be followed when completing, signing and correcting Case Report Forms (CRFs).</w:t>
      </w:r>
    </w:p>
    <w:p w:rsidR="00BE1B85" w:rsidRDefault="00BE1B85" w:rsidP="00BE1B85">
      <w:pPr>
        <w:pStyle w:val="NormalIndent"/>
        <w:rPr>
          <w:szCs w:val="28"/>
          <w:highlight w:val="yellow"/>
        </w:rPr>
      </w:pPr>
    </w:p>
    <w:p w:rsidR="00BE1B85" w:rsidRDefault="00BE1B85" w:rsidP="00AD2DDA">
      <w:pPr>
        <w:pStyle w:val="Heading1"/>
      </w:pPr>
      <w:r w:rsidRPr="00AD2DDA">
        <w:t>introduction</w:t>
      </w:r>
      <w:bookmarkEnd w:id="2"/>
    </w:p>
    <w:p w:rsidR="00BE1B85" w:rsidRDefault="00BE1B85" w:rsidP="00BE1B85">
      <w:pPr>
        <w:pStyle w:val="NormalIndent"/>
      </w:pPr>
      <w:bookmarkStart w:id="3" w:name="_Toc53202740"/>
      <w:r>
        <w:t>The</w:t>
      </w:r>
      <w:r>
        <w:rPr>
          <w:bCs/>
        </w:rPr>
        <w:t xml:space="preserve"> ICH Harmonised Tripartite Guideline for Good Clinical Practice</w:t>
      </w:r>
      <w:r>
        <w:t xml:space="preserve"> defines a CRF as: ‘A printed, optical or electronic document designed to record all of the protocol required information to be reported to the sponsor on each trial subject.’ CRFs are the official documentation of the trial and may be closely examined during audits and/or inspections.  Adherence to this specific procedure will ensure that a clear audit trail is available.</w:t>
      </w:r>
    </w:p>
    <w:p w:rsidR="00BE1B85" w:rsidRDefault="00BE1B85" w:rsidP="008C3879">
      <w:pPr>
        <w:pStyle w:val="NormalIndent"/>
      </w:pPr>
    </w:p>
    <w:p w:rsidR="00BE1B85" w:rsidRDefault="00BE1B85" w:rsidP="00AD2DDA">
      <w:pPr>
        <w:pStyle w:val="Heading1"/>
      </w:pPr>
      <w:r w:rsidRPr="00AD2DDA">
        <w:t>Scope</w:t>
      </w:r>
      <w:bookmarkEnd w:id="3"/>
    </w:p>
    <w:p w:rsidR="00BE1B85" w:rsidRDefault="00BE1B85" w:rsidP="00BE1B85">
      <w:pPr>
        <w:pStyle w:val="NormalIndent"/>
      </w:pPr>
      <w:r>
        <w:rPr>
          <w:szCs w:val="22"/>
        </w:rPr>
        <w:t xml:space="preserve">This SOP applies to clinical research where the University of Oxford has accepted the role of ‘Sponsor’, in the </w:t>
      </w:r>
      <w:r>
        <w:rPr>
          <w:szCs w:val="22"/>
          <w:highlight w:val="yellow"/>
        </w:rPr>
        <w:t>INSERT NAME department/ for the INSERT NAME/NUMBER trial (delete as appropriate).</w:t>
      </w:r>
      <w:r>
        <w:rPr>
          <w:szCs w:val="22"/>
        </w:rPr>
        <w:t xml:space="preserve"> This SOP applies to paper CRFs.</w:t>
      </w:r>
    </w:p>
    <w:p w:rsidR="00BE1B85" w:rsidRDefault="00BE1B85" w:rsidP="00BE1B85">
      <w:pPr>
        <w:pStyle w:val="NormalIndent"/>
      </w:pPr>
      <w:r>
        <w:t>This SOP does not apply to commercially sponsored research or research sponsored by an external non-commercial organization.</w:t>
      </w:r>
    </w:p>
    <w:p w:rsidR="00BE1B85" w:rsidRDefault="00BE1B85" w:rsidP="00BE1B85">
      <w:pPr>
        <w:pStyle w:val="NormalIndent"/>
      </w:pPr>
    </w:p>
    <w:p w:rsidR="00BE1B85" w:rsidRDefault="00BE1B85" w:rsidP="00AD2DDA">
      <w:pPr>
        <w:pStyle w:val="Heading1"/>
      </w:pPr>
      <w:bookmarkStart w:id="4" w:name="_Toc53202741"/>
      <w:r w:rsidRPr="00AD2DDA">
        <w:t>responsibilities</w:t>
      </w:r>
      <w:bookmarkEnd w:id="4"/>
    </w:p>
    <w:p w:rsidR="00BE1B85" w:rsidRDefault="00BE1B85" w:rsidP="008C3879">
      <w:pPr>
        <w:pStyle w:val="Heading2"/>
      </w:pPr>
      <w:r w:rsidRPr="008C3879">
        <w:t>Investigator</w:t>
      </w:r>
      <w:r>
        <w:t xml:space="preserve"> or delegate</w:t>
      </w:r>
    </w:p>
    <w:p w:rsidR="00BE1B85" w:rsidRDefault="00BE1B85" w:rsidP="00BE1B85">
      <w:pPr>
        <w:pStyle w:val="NormalIndent"/>
      </w:pPr>
      <w:r>
        <w:t xml:space="preserve">The delegation of responsibility for CRF completion by the investigator should be documented on the appropriate form.  CRF completion should only be carried out by the investigator or individuals listed on this form.  </w:t>
      </w:r>
    </w:p>
    <w:p w:rsidR="008C3879" w:rsidRDefault="008C3879" w:rsidP="00BE1B85">
      <w:pPr>
        <w:pStyle w:val="NormalIndent"/>
      </w:pPr>
    </w:p>
    <w:p w:rsidR="00BE1B85" w:rsidRDefault="00BE1B85" w:rsidP="00AD2DDA">
      <w:pPr>
        <w:pStyle w:val="Heading1"/>
      </w:pPr>
      <w:r w:rsidRPr="00AD2DDA">
        <w:t>SPECIFIC</w:t>
      </w:r>
      <w:r>
        <w:t xml:space="preserve"> PROCEDURE</w:t>
      </w:r>
    </w:p>
    <w:p w:rsidR="00BE1B85" w:rsidRDefault="00BE1B85" w:rsidP="008C3879">
      <w:pPr>
        <w:pStyle w:val="NormalBullet"/>
      </w:pPr>
      <w:r>
        <w:t xml:space="preserve">Always use black ballpoint pen. Do not use pencils. </w:t>
      </w:r>
    </w:p>
    <w:p w:rsidR="00BE1B85" w:rsidRDefault="00BE1B85" w:rsidP="008C3879">
      <w:pPr>
        <w:pStyle w:val="NormalBullet"/>
      </w:pPr>
      <w:r>
        <w:t>Ensure that the CRF contains only anonymised data unless it is specified in the protocol that CRFs are source documents and that patient names can be collected.</w:t>
      </w:r>
    </w:p>
    <w:p w:rsidR="00BE1B85" w:rsidRDefault="00BE1B85" w:rsidP="008C3879">
      <w:pPr>
        <w:pStyle w:val="NormalBullet"/>
      </w:pPr>
      <w:r>
        <w:lastRenderedPageBreak/>
        <w:t>Ensure data entry is as complete as possible. If data are unavailable then write ‘unknown’, ‘not applicable’ or ‘missing’ on the CRF. Do not leave blank spaces.</w:t>
      </w:r>
    </w:p>
    <w:p w:rsidR="00BE1B85" w:rsidRDefault="00BE1B85" w:rsidP="008C3879">
      <w:pPr>
        <w:pStyle w:val="NormalBullet"/>
      </w:pPr>
      <w:r>
        <w:t xml:space="preserve">Do not create additional fields on the CRF </w:t>
      </w:r>
      <w:r w:rsidR="008C3879">
        <w:t>i.e.</w:t>
      </w:r>
      <w:r>
        <w:t xml:space="preserve"> Only provide information which is asked for.</w:t>
      </w:r>
    </w:p>
    <w:p w:rsidR="00BE1B85" w:rsidRDefault="00BE1B85" w:rsidP="008C3879">
      <w:pPr>
        <w:pStyle w:val="NormalBullet"/>
      </w:pPr>
      <w:r>
        <w:t>Ensure that all entries are legible.</w:t>
      </w:r>
    </w:p>
    <w:p w:rsidR="00BE1B85" w:rsidRDefault="00BE1B85" w:rsidP="008C3879">
      <w:pPr>
        <w:pStyle w:val="NormalBullet"/>
      </w:pPr>
      <w:r>
        <w:t>Corrections should be made by crossing through the incorrect entry with a single line so that the original entry is still readable.  Enter the correct data.  Initial and date the correction. Never use correction fluid or obliterate entries made on the CRF.</w:t>
      </w:r>
    </w:p>
    <w:p w:rsidR="00BE1B85" w:rsidRDefault="00BE1B85" w:rsidP="008C3879">
      <w:pPr>
        <w:pStyle w:val="NormalBullet"/>
      </w:pPr>
      <w:r>
        <w:t xml:space="preserve">CRFs should be stored in a secure location during the course of the study and archived when the study has finished. See SOP: Archiving of Essential Documents. </w:t>
      </w:r>
    </w:p>
    <w:p w:rsidR="00BE1B85" w:rsidRDefault="00BE1B85" w:rsidP="008C3879">
      <w:pPr>
        <w:pStyle w:val="NormalBullet"/>
      </w:pPr>
      <w:r>
        <w:t>When all entries and corrections are deemed to be complete, the CRF must be signed by the principal investigator (or designee) to assert that they believe it to be complete and correct.</w:t>
      </w:r>
    </w:p>
    <w:p w:rsidR="00BE1B85" w:rsidRDefault="00BE1B85" w:rsidP="00BE1B85">
      <w:pPr>
        <w:pStyle w:val="ListBullet"/>
        <w:numPr>
          <w:ilvl w:val="0"/>
          <w:numId w:val="0"/>
        </w:numPr>
        <w:tabs>
          <w:tab w:val="left" w:pos="720"/>
        </w:tabs>
      </w:pPr>
    </w:p>
    <w:p w:rsidR="00BE1B85" w:rsidRDefault="00BE1B85" w:rsidP="00AD2DDA">
      <w:pPr>
        <w:pStyle w:val="Heading1"/>
      </w:pPr>
      <w:bookmarkStart w:id="5" w:name="_Toc53202746"/>
      <w:r>
        <w:t xml:space="preserve">forms/Templates to be </w:t>
      </w:r>
      <w:r w:rsidRPr="00AD2DDA">
        <w:t>used</w:t>
      </w:r>
      <w:bookmarkEnd w:id="5"/>
    </w:p>
    <w:p w:rsidR="00BE1B85" w:rsidRDefault="00BE1B85" w:rsidP="008C3879">
      <w:pPr>
        <w:pStyle w:val="NormalIndent"/>
      </w:pPr>
      <w:r>
        <w:rPr>
          <w:highlight w:val="yellow"/>
        </w:rPr>
        <w:t xml:space="preserve">Where Forms/Templates are referenced in the text, the numbers and titles are listed under this section.  </w:t>
      </w:r>
    </w:p>
    <w:p w:rsidR="00BE1B85" w:rsidRDefault="00BE1B85" w:rsidP="008C3879">
      <w:pPr>
        <w:pStyle w:val="NormalIndent"/>
      </w:pPr>
    </w:p>
    <w:p w:rsidR="00BE1B85" w:rsidRDefault="00BE1B85" w:rsidP="008C3879">
      <w:pPr>
        <w:pStyle w:val="Heading1"/>
      </w:pPr>
      <w:bookmarkStart w:id="6" w:name="_Toc53202747"/>
      <w:r>
        <w:t xml:space="preserve">internal </w:t>
      </w:r>
      <w:r w:rsidRPr="008C3879">
        <w:t>and</w:t>
      </w:r>
      <w:r>
        <w:t xml:space="preserve"> external references</w:t>
      </w:r>
      <w:bookmarkEnd w:id="6"/>
    </w:p>
    <w:p w:rsidR="00BE1B85" w:rsidRDefault="00BE1B85" w:rsidP="008C3879">
      <w:pPr>
        <w:pStyle w:val="NormalIndent"/>
      </w:pPr>
      <w:r>
        <w:rPr>
          <w:highlight w:val="yellow"/>
        </w:rPr>
        <w:t xml:space="preserve">This section is used to list all controlled internal references (e.g. SOPs) and external references referred to within the text of the SOP only. </w:t>
      </w:r>
    </w:p>
    <w:p w:rsidR="00BE1B85" w:rsidRDefault="00BE1B85" w:rsidP="008C3879">
      <w:pPr>
        <w:pStyle w:val="Heading2"/>
      </w:pPr>
      <w:r>
        <w:t xml:space="preserve">Internal </w:t>
      </w:r>
      <w:r w:rsidRPr="008C3879">
        <w:t>References</w:t>
      </w:r>
    </w:p>
    <w:p w:rsidR="00BE1B85" w:rsidRDefault="00BE1B85" w:rsidP="00BE1B85">
      <w:pPr>
        <w:pStyle w:val="NormalIndent"/>
      </w:pPr>
      <w:r>
        <w:t>Design and Development of Case Report Forms</w:t>
      </w:r>
    </w:p>
    <w:p w:rsidR="00BE1B85" w:rsidRDefault="00BE1B85" w:rsidP="00BE1B85">
      <w:pPr>
        <w:pStyle w:val="NormalIndent"/>
      </w:pPr>
      <w:r>
        <w:t>Archiving of Essential Documents</w:t>
      </w:r>
    </w:p>
    <w:p w:rsidR="00BE1B85" w:rsidRDefault="00BE1B85" w:rsidP="00BE1B85">
      <w:pPr>
        <w:pStyle w:val="Heading2"/>
        <w:numPr>
          <w:ilvl w:val="1"/>
          <w:numId w:val="15"/>
        </w:numPr>
      </w:pPr>
      <w:r>
        <w:t>External References</w:t>
      </w:r>
    </w:p>
    <w:p w:rsidR="00BE1B85" w:rsidRDefault="00BE1B85" w:rsidP="00BE1B85">
      <w:pPr>
        <w:pStyle w:val="NormalIndent"/>
      </w:pPr>
      <w:r>
        <w:t>ICH Harmonised Tripartite Guideli</w:t>
      </w:r>
      <w:r w:rsidR="008C3879">
        <w:t xml:space="preserve">ne for Good Clinical Practice. </w:t>
      </w:r>
    </w:p>
    <w:p w:rsidR="008C3879" w:rsidRDefault="008C3879" w:rsidP="00BE1B85">
      <w:pPr>
        <w:pStyle w:val="NormalIndent"/>
      </w:pPr>
    </w:p>
    <w:p w:rsidR="00BE1B85" w:rsidRDefault="00BE1B85" w:rsidP="00BE1B85">
      <w:pPr>
        <w:pStyle w:val="Heading1"/>
        <w:numPr>
          <w:ilvl w:val="0"/>
          <w:numId w:val="15"/>
        </w:numPr>
      </w:pPr>
      <w:r>
        <w:t>Change History</w:t>
      </w:r>
    </w:p>
    <w:p w:rsidR="00BE1B85" w:rsidRDefault="00BE1B85" w:rsidP="00BE1B85">
      <w:pPr>
        <w:pStyle w:val="NormalIndent"/>
        <w:rPr>
          <w:highlight w:val="yellow"/>
        </w:rPr>
      </w:pPr>
      <w:r>
        <w:rPr>
          <w:highlight w:val="yellow"/>
        </w:rPr>
        <w:t>Where the SOP is the initial version:</w:t>
      </w:r>
    </w:p>
    <w:p w:rsidR="00BE1B85" w:rsidRDefault="00BE1B85" w:rsidP="00BE1B85">
      <w:pPr>
        <w:pStyle w:val="NormalBullet"/>
        <w:widowControl w:val="0"/>
        <w:numPr>
          <w:ilvl w:val="0"/>
          <w:numId w:val="16"/>
        </w:numPr>
        <w:tabs>
          <w:tab w:val="num" w:pos="426"/>
        </w:tabs>
        <w:ind w:left="1276" w:hanging="567"/>
        <w:rPr>
          <w:highlight w:val="yellow"/>
        </w:rPr>
      </w:pPr>
      <w:r>
        <w:rPr>
          <w:highlight w:val="yellow"/>
        </w:rPr>
        <w:t>The SOP number is recorded.</w:t>
      </w:r>
    </w:p>
    <w:p w:rsidR="00BE1B85" w:rsidRDefault="00BE1B85" w:rsidP="00BE1B85">
      <w:pPr>
        <w:pStyle w:val="NormalBullet"/>
        <w:widowControl w:val="0"/>
        <w:numPr>
          <w:ilvl w:val="0"/>
          <w:numId w:val="16"/>
        </w:numPr>
        <w:tabs>
          <w:tab w:val="num" w:pos="426"/>
        </w:tabs>
        <w:ind w:left="1276" w:hanging="567"/>
        <w:rPr>
          <w:highlight w:val="yellow"/>
        </w:rPr>
      </w:pPr>
      <w:r>
        <w:rPr>
          <w:highlight w:val="yellow"/>
        </w:rPr>
        <w:t>“Initial version” is noted in the ‘Significant’ section.</w:t>
      </w:r>
    </w:p>
    <w:p w:rsidR="00BE1B85" w:rsidRDefault="00BE1B85" w:rsidP="00BE1B85">
      <w:pPr>
        <w:pStyle w:val="NormalIndent"/>
        <w:rPr>
          <w:highlight w:val="yellow"/>
        </w:rPr>
      </w:pPr>
      <w:r>
        <w:rPr>
          <w:highlight w:val="yellow"/>
        </w:rPr>
        <w:t>Where replacing a previous SOP:</w:t>
      </w:r>
    </w:p>
    <w:p w:rsidR="00BE1B85" w:rsidRPr="008C3879" w:rsidRDefault="00BE1B85" w:rsidP="008C3879">
      <w:pPr>
        <w:pStyle w:val="NormalBullet"/>
        <w:rPr>
          <w:highlight w:val="yellow"/>
        </w:rPr>
      </w:pPr>
      <w:r w:rsidRPr="008C3879">
        <w:rPr>
          <w:highlight w:val="yellow"/>
        </w:rPr>
        <w:t>The Effective Date for the previous version is recorded against that version in the table.</w:t>
      </w:r>
    </w:p>
    <w:p w:rsidR="00BE1B85" w:rsidRPr="008C3879" w:rsidRDefault="00BE1B85" w:rsidP="008C3879">
      <w:pPr>
        <w:pStyle w:val="NormalBullet"/>
        <w:rPr>
          <w:highlight w:val="yellow"/>
        </w:rPr>
      </w:pPr>
      <w:r w:rsidRPr="008C3879">
        <w:rPr>
          <w:highlight w:val="yellow"/>
        </w:rPr>
        <w:t>Record the new SOP number; record the Effective Date as “See page 1”.</w:t>
      </w:r>
    </w:p>
    <w:p w:rsidR="00BE1B85" w:rsidRPr="008C3879" w:rsidRDefault="00BE1B85" w:rsidP="008C3879">
      <w:pPr>
        <w:pStyle w:val="NormalBullet"/>
        <w:rPr>
          <w:highlight w:val="yellow"/>
        </w:rPr>
      </w:pPr>
      <w:r w:rsidRPr="008C3879">
        <w:rPr>
          <w:highlight w:val="yellow"/>
        </w:rPr>
        <w:t xml:space="preserve">Main changes from the previous SOP(s) are listed under ‘Reason for Replacement’, in sufficient detail to provide guidance for training.  </w:t>
      </w:r>
    </w:p>
    <w:p w:rsidR="00BE1B85" w:rsidRPr="008C3879" w:rsidRDefault="00BE1B85" w:rsidP="008C3879">
      <w:pPr>
        <w:pStyle w:val="NormalBullet"/>
        <w:rPr>
          <w:highlight w:val="yellow"/>
        </w:rPr>
      </w:pPr>
      <w:r w:rsidRPr="008C3879">
        <w:rPr>
          <w:highlight w:val="yellow"/>
        </w:rPr>
        <w:t>If the SOP replaces a previous version or another procedure, the SOP number for the document is listed in the ‘Previous SOP No.’ column (see section 12 of this SOP for an example).</w:t>
      </w:r>
    </w:p>
    <w:p w:rsidR="00BE1B85" w:rsidRDefault="00BE1B85" w:rsidP="00BE1B85">
      <w:pPr>
        <w:pStyle w:val="NormalIndent"/>
      </w:pPr>
    </w:p>
    <w:p w:rsidR="00BE1B85" w:rsidRDefault="00BE1B85" w:rsidP="00BE1B85">
      <w:pPr>
        <w:pStyle w:val="NormalIndent"/>
      </w:pPr>
    </w:p>
    <w:tbl>
      <w:tblPr>
        <w:tblW w:w="89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5"/>
        <w:gridCol w:w="4249"/>
        <w:gridCol w:w="1700"/>
      </w:tblGrid>
      <w:tr w:rsidR="00BE1B85" w:rsidTr="00BE1B85">
        <w:trPr>
          <w:cantSplit/>
          <w:trHeight w:val="393"/>
          <w:tblHeader/>
        </w:trPr>
        <w:tc>
          <w:tcPr>
            <w:tcW w:w="1701" w:type="dxa"/>
            <w:tcBorders>
              <w:top w:val="single" w:sz="6" w:space="0" w:color="000000"/>
              <w:left w:val="single" w:sz="6" w:space="0" w:color="000000"/>
              <w:bottom w:val="single" w:sz="4" w:space="0" w:color="auto"/>
              <w:right w:val="single" w:sz="6" w:space="0" w:color="000000"/>
            </w:tcBorders>
            <w:vAlign w:val="center"/>
            <w:hideMark/>
          </w:tcPr>
          <w:p w:rsidR="00BE1B85" w:rsidRDefault="00BE1B85">
            <w:pPr>
              <w:pStyle w:val="TableText"/>
              <w:jc w:val="center"/>
            </w:pPr>
            <w:r>
              <w:t>SOP no.</w:t>
            </w:r>
          </w:p>
        </w:tc>
        <w:tc>
          <w:tcPr>
            <w:tcW w:w="1276" w:type="dxa"/>
            <w:tcBorders>
              <w:top w:val="single" w:sz="6" w:space="0" w:color="000000"/>
              <w:left w:val="single" w:sz="6" w:space="0" w:color="000000"/>
              <w:bottom w:val="single" w:sz="4" w:space="0" w:color="auto"/>
              <w:right w:val="single" w:sz="6" w:space="0" w:color="000000"/>
            </w:tcBorders>
            <w:vAlign w:val="center"/>
            <w:hideMark/>
          </w:tcPr>
          <w:p w:rsidR="00BE1B85" w:rsidRDefault="00BE1B85">
            <w:pPr>
              <w:pStyle w:val="TableText"/>
              <w:ind w:left="-108" w:right="-108"/>
              <w:jc w:val="center"/>
            </w:pPr>
            <w:r>
              <w:t>Effective</w:t>
            </w:r>
            <w:r>
              <w:br/>
              <w:t>Date</w:t>
            </w:r>
          </w:p>
        </w:tc>
        <w:tc>
          <w:tcPr>
            <w:tcW w:w="4252" w:type="dxa"/>
            <w:tcBorders>
              <w:top w:val="single" w:sz="6" w:space="0" w:color="000000"/>
              <w:left w:val="single" w:sz="4" w:space="0" w:color="auto"/>
              <w:bottom w:val="single" w:sz="4" w:space="0" w:color="auto"/>
              <w:right w:val="single" w:sz="6" w:space="0" w:color="000000"/>
            </w:tcBorders>
            <w:vAlign w:val="center"/>
            <w:hideMark/>
          </w:tcPr>
          <w:p w:rsidR="00BE1B85" w:rsidRDefault="00BE1B85">
            <w:pPr>
              <w:pStyle w:val="TableText"/>
              <w:jc w:val="center"/>
            </w:pPr>
            <w:r>
              <w:t>Significant Changes</w:t>
            </w:r>
          </w:p>
        </w:tc>
        <w:tc>
          <w:tcPr>
            <w:tcW w:w="1701" w:type="dxa"/>
            <w:tcBorders>
              <w:top w:val="single" w:sz="6" w:space="0" w:color="000000"/>
              <w:left w:val="single" w:sz="4" w:space="0" w:color="auto"/>
              <w:bottom w:val="single" w:sz="4" w:space="0" w:color="auto"/>
              <w:right w:val="single" w:sz="6" w:space="0" w:color="000000"/>
            </w:tcBorders>
            <w:vAlign w:val="center"/>
            <w:hideMark/>
          </w:tcPr>
          <w:p w:rsidR="00BE1B85" w:rsidRDefault="00BE1B85">
            <w:pPr>
              <w:pStyle w:val="TableText"/>
              <w:jc w:val="center"/>
            </w:pPr>
            <w:r>
              <w:t>Previous</w:t>
            </w:r>
            <w:r>
              <w:br/>
              <w:t>SOP no.</w:t>
            </w:r>
          </w:p>
        </w:tc>
      </w:tr>
      <w:tr w:rsidR="00BE1B85" w:rsidTr="00BE1B85">
        <w:trPr>
          <w:cantSplit/>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pPr>
          </w:p>
        </w:tc>
        <w:tc>
          <w:tcPr>
            <w:tcW w:w="1276"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ind w:left="-108" w:right="-108"/>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jc w:val="center"/>
            </w:pPr>
          </w:p>
        </w:tc>
      </w:tr>
      <w:tr w:rsidR="00BE1B85" w:rsidTr="00BE1B85">
        <w:trPr>
          <w:cantSplit/>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pPr>
          </w:p>
        </w:tc>
        <w:tc>
          <w:tcPr>
            <w:tcW w:w="1276"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ind w:left="-108" w:right="-108"/>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jc w:val="center"/>
            </w:pPr>
          </w:p>
        </w:tc>
      </w:tr>
      <w:tr w:rsidR="00BE1B85" w:rsidTr="00BE1B85">
        <w:trPr>
          <w:cantSplit/>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pPr>
          </w:p>
        </w:tc>
        <w:tc>
          <w:tcPr>
            <w:tcW w:w="1276"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ind w:left="-108" w:right="-108"/>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jc w:val="center"/>
            </w:pPr>
          </w:p>
        </w:tc>
      </w:tr>
      <w:tr w:rsidR="00BE1B85" w:rsidTr="00BE1B85">
        <w:trPr>
          <w:cantSplit/>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pPr>
          </w:p>
        </w:tc>
        <w:tc>
          <w:tcPr>
            <w:tcW w:w="1276"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ind w:left="-108" w:right="-108"/>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jc w:val="center"/>
            </w:pPr>
          </w:p>
        </w:tc>
      </w:tr>
      <w:tr w:rsidR="00BE1B85" w:rsidTr="00BE1B85">
        <w:trPr>
          <w:cantSplit/>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pPr>
          </w:p>
        </w:tc>
        <w:tc>
          <w:tcPr>
            <w:tcW w:w="1276"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ind w:left="-108" w:right="-108"/>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BE1B85" w:rsidRDefault="00BE1B85">
            <w:pPr>
              <w:pStyle w:val="TableText"/>
              <w:jc w:val="center"/>
            </w:pPr>
          </w:p>
        </w:tc>
      </w:tr>
    </w:tbl>
    <w:p w:rsidR="00BE1B85" w:rsidRDefault="00BE1B85" w:rsidP="00BE1B85"/>
    <w:p w:rsidR="00BE1B85" w:rsidRDefault="00BE1B85" w:rsidP="00BE1B85">
      <w:pPr>
        <w:widowControl w:val="0"/>
      </w:pPr>
    </w:p>
    <w:p w:rsidR="005B0479" w:rsidRPr="00BE1B85" w:rsidRDefault="005B0479" w:rsidP="00BE1B85"/>
    <w:sectPr w:rsidR="005B0479" w:rsidRPr="00BE1B85" w:rsidSect="00D13EBC">
      <w:headerReference w:type="even" r:id="rId9"/>
      <w:footerReference w:type="even" r:id="rId10"/>
      <w:headerReference w:type="first" r:id="rId11"/>
      <w:footerReference w:type="first" r:id="rId12"/>
      <w:pgSz w:w="11906" w:h="16838" w:code="9"/>
      <w:pgMar w:top="1418" w:right="1418" w:bottom="1644" w:left="1418" w:header="675"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DC1" w:rsidRDefault="00321DC1" w:rsidP="003B1D99">
      <w:pPr>
        <w:spacing w:after="0"/>
      </w:pPr>
      <w:r>
        <w:separator/>
      </w:r>
    </w:p>
  </w:endnote>
  <w:endnote w:type="continuationSeparator" w:id="0">
    <w:p w:rsidR="00321DC1" w:rsidRDefault="00321DC1" w:rsidP="003B1D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879" w:rsidRPr="00DA10E1" w:rsidRDefault="008C3879" w:rsidP="008C3879">
    <w:pPr>
      <w:pStyle w:val="Footer"/>
      <w:rPr>
        <w:rFonts w:cs="Arial"/>
        <w:sz w:val="16"/>
        <w:szCs w:val="16"/>
        <w:lang w:val="en-US"/>
      </w:rPr>
    </w:pPr>
    <w:r w:rsidRPr="00DA10E1">
      <w:rPr>
        <w:rFonts w:cs="Arial"/>
        <w:sz w:val="16"/>
        <w:szCs w:val="16"/>
        <w:lang w:val="en-US"/>
      </w:rPr>
      <w:t xml:space="preserve">Adapted from CTRG Template SOP </w:t>
    </w:r>
    <w:r w:rsidR="001F01A9" w:rsidRPr="00DA10E1">
      <w:rPr>
        <w:rFonts w:cs="Arial"/>
        <w:sz w:val="16"/>
        <w:szCs w:val="16"/>
        <w:lang w:val="en-US"/>
      </w:rPr>
      <w:t>v3.2</w:t>
    </w:r>
  </w:p>
  <w:p w:rsidR="008C3879" w:rsidRPr="00DA10E1" w:rsidRDefault="008C3879" w:rsidP="00DA10E1">
    <w:pPr>
      <w:pStyle w:val="Footer"/>
      <w:rPr>
        <w:rFonts w:cs="Arial"/>
        <w:sz w:val="16"/>
        <w:szCs w:val="16"/>
      </w:rPr>
    </w:pPr>
    <w:r w:rsidRPr="00DA10E1">
      <w:rPr>
        <w:rFonts w:cs="Arial"/>
        <w:color w:val="000000"/>
        <w:sz w:val="16"/>
        <w:szCs w:val="16"/>
        <w:lang w:val="en-US"/>
      </w:rPr>
      <w:t xml:space="preserve">© Copyright: The University of Oxford </w:t>
    </w:r>
    <w:r w:rsidR="00DA10E1">
      <w:rPr>
        <w:rFonts w:cs="Arial"/>
        <w:color w:val="000000"/>
        <w:sz w:val="16"/>
        <w:szCs w:val="16"/>
        <w:lang w:val="en-US"/>
      </w:rPr>
      <w:t>2014</w:t>
    </w:r>
    <w:r w:rsidR="00DA10E1">
      <w:rPr>
        <w:rFonts w:cs="Arial"/>
        <w:sz w:val="16"/>
        <w:szCs w:val="16"/>
      </w:rPr>
      <w:tab/>
    </w:r>
    <w:r w:rsidR="00DA10E1">
      <w:rPr>
        <w:rFonts w:cs="Arial"/>
        <w:sz w:val="16"/>
        <w:szCs w:val="16"/>
      </w:rPr>
      <w:tab/>
    </w:r>
    <w:r w:rsidRPr="00DA10E1">
      <w:rPr>
        <w:sz w:val="16"/>
        <w:szCs w:val="16"/>
        <w:lang w:val="en-US"/>
      </w:rPr>
      <w:t xml:space="preserve">Page </w:t>
    </w:r>
    <w:r w:rsidRPr="00DA10E1">
      <w:rPr>
        <w:sz w:val="16"/>
        <w:szCs w:val="16"/>
        <w:lang w:val="en-US"/>
      </w:rPr>
      <w:fldChar w:fldCharType="begin"/>
    </w:r>
    <w:r w:rsidRPr="00DA10E1">
      <w:rPr>
        <w:sz w:val="16"/>
        <w:szCs w:val="16"/>
        <w:lang w:val="en-US"/>
      </w:rPr>
      <w:instrText xml:space="preserve"> PAGE </w:instrText>
    </w:r>
    <w:r w:rsidRPr="00DA10E1">
      <w:rPr>
        <w:sz w:val="16"/>
        <w:szCs w:val="16"/>
        <w:lang w:val="en-US"/>
      </w:rPr>
      <w:fldChar w:fldCharType="separate"/>
    </w:r>
    <w:r w:rsidR="00C05353">
      <w:rPr>
        <w:noProof/>
        <w:sz w:val="16"/>
        <w:szCs w:val="16"/>
        <w:lang w:val="en-US"/>
      </w:rPr>
      <w:t>1</w:t>
    </w:r>
    <w:r w:rsidRPr="00DA10E1">
      <w:rPr>
        <w:sz w:val="16"/>
        <w:szCs w:val="16"/>
        <w:lang w:val="en-US"/>
      </w:rPr>
      <w:fldChar w:fldCharType="end"/>
    </w:r>
    <w:r w:rsidRPr="00DA10E1">
      <w:rPr>
        <w:sz w:val="16"/>
        <w:szCs w:val="16"/>
        <w:lang w:val="en-US"/>
      </w:rPr>
      <w:t xml:space="preserve"> of </w:t>
    </w:r>
    <w:r w:rsidRPr="00DA10E1">
      <w:rPr>
        <w:sz w:val="16"/>
        <w:szCs w:val="16"/>
        <w:lang w:val="en-US"/>
      </w:rPr>
      <w:fldChar w:fldCharType="begin"/>
    </w:r>
    <w:r w:rsidRPr="00DA10E1">
      <w:rPr>
        <w:sz w:val="16"/>
        <w:szCs w:val="16"/>
        <w:lang w:val="en-US"/>
      </w:rPr>
      <w:instrText xml:space="preserve"> NUMPAGES </w:instrText>
    </w:r>
    <w:r w:rsidRPr="00DA10E1">
      <w:rPr>
        <w:sz w:val="16"/>
        <w:szCs w:val="16"/>
        <w:lang w:val="en-US"/>
      </w:rPr>
      <w:fldChar w:fldCharType="separate"/>
    </w:r>
    <w:r w:rsidR="00C05353">
      <w:rPr>
        <w:noProof/>
        <w:sz w:val="16"/>
        <w:szCs w:val="16"/>
        <w:lang w:val="en-US"/>
      </w:rPr>
      <w:t>4</w:t>
    </w:r>
    <w:r w:rsidRPr="00DA10E1">
      <w:rPr>
        <w:sz w:val="16"/>
        <w:szCs w:val="16"/>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09" w:rsidRDefault="00E75D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09" w:rsidRDefault="00E75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DC1" w:rsidRDefault="00321DC1" w:rsidP="003B1D99">
      <w:pPr>
        <w:spacing w:after="0"/>
      </w:pPr>
      <w:r>
        <w:separator/>
      </w:r>
    </w:p>
  </w:footnote>
  <w:footnote w:type="continuationSeparator" w:id="0">
    <w:p w:rsidR="00321DC1" w:rsidRDefault="00321DC1" w:rsidP="003B1D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46" w:type="dxa"/>
      <w:tblLayout w:type="fixed"/>
      <w:tblLook w:val="0000" w:firstRow="0" w:lastRow="0" w:firstColumn="0" w:lastColumn="0" w:noHBand="0" w:noVBand="0"/>
    </w:tblPr>
    <w:tblGrid>
      <w:gridCol w:w="4928"/>
      <w:gridCol w:w="4918"/>
    </w:tblGrid>
    <w:tr w:rsidR="00BE1B85" w:rsidTr="00850FEF">
      <w:tc>
        <w:tcPr>
          <w:tcW w:w="4928" w:type="dxa"/>
        </w:tcPr>
        <w:p w:rsidR="00BE1B85" w:rsidRDefault="00BE1B85" w:rsidP="009456BF">
          <w:r>
            <w:rPr>
              <w:b/>
            </w:rPr>
            <w:t>STANDARD OPERATING PROCEDURE</w:t>
          </w:r>
        </w:p>
      </w:tc>
      <w:tc>
        <w:tcPr>
          <w:tcW w:w="4918" w:type="dxa"/>
          <w:tcBorders>
            <w:left w:val="nil"/>
          </w:tcBorders>
        </w:tcPr>
        <w:p w:rsidR="00BE1B85" w:rsidRDefault="00BE1B85" w:rsidP="009456BF">
          <w:pPr>
            <w:jc w:val="right"/>
          </w:pPr>
          <w:r>
            <w:rPr>
              <w:highlight w:val="yellow"/>
            </w:rPr>
            <w:t>Insert Department</w:t>
          </w:r>
        </w:p>
      </w:tc>
    </w:tr>
    <w:tr w:rsidR="00BE1B85" w:rsidTr="00850FEF">
      <w:trPr>
        <w:cantSplit/>
      </w:trPr>
      <w:tc>
        <w:tcPr>
          <w:tcW w:w="4928" w:type="dxa"/>
          <w:vMerge w:val="restart"/>
          <w:vAlign w:val="bottom"/>
        </w:tcPr>
        <w:p w:rsidR="00BE1B85" w:rsidRDefault="00BE1B85" w:rsidP="009456BF"/>
      </w:tc>
      <w:tc>
        <w:tcPr>
          <w:tcW w:w="4918" w:type="dxa"/>
        </w:tcPr>
        <w:p w:rsidR="00BE1B85" w:rsidRDefault="00BE1B85" w:rsidP="009456BF">
          <w:pPr>
            <w:jc w:val="right"/>
          </w:pPr>
          <w:r>
            <w:t xml:space="preserve">SOP No:  </w:t>
          </w:r>
          <w:r>
            <w:rPr>
              <w:highlight w:val="yellow"/>
            </w:rPr>
            <w:t>Insert Number</w:t>
          </w:r>
          <w:r>
            <w:t xml:space="preserve"> </w:t>
          </w:r>
        </w:p>
      </w:tc>
    </w:tr>
    <w:tr w:rsidR="00BE1B85" w:rsidTr="00850FEF">
      <w:trPr>
        <w:cantSplit/>
        <w:trHeight w:val="407"/>
      </w:trPr>
      <w:tc>
        <w:tcPr>
          <w:tcW w:w="4928" w:type="dxa"/>
          <w:vMerge/>
          <w:tcBorders>
            <w:bottom w:val="nil"/>
          </w:tcBorders>
        </w:tcPr>
        <w:p w:rsidR="00BE1B85" w:rsidRDefault="00BE1B85" w:rsidP="009456BF">
          <w:pPr>
            <w:rPr>
              <w:i/>
            </w:rPr>
          </w:pPr>
        </w:p>
      </w:tc>
      <w:tc>
        <w:tcPr>
          <w:tcW w:w="4918" w:type="dxa"/>
          <w:tcBorders>
            <w:bottom w:val="nil"/>
          </w:tcBorders>
        </w:tcPr>
        <w:p w:rsidR="00BE1B85" w:rsidRDefault="00BE1B85" w:rsidP="00BE1B85">
          <w:pPr>
            <w:jc w:val="right"/>
          </w:pPr>
          <w:r>
            <w:t xml:space="preserve">Draft SOP Title: </w:t>
          </w:r>
          <w:r w:rsidR="008C3879">
            <w:t>Case Report Form Completion</w:t>
          </w:r>
          <w:r>
            <w:t xml:space="preserve"> </w:t>
          </w:r>
        </w:p>
      </w:tc>
    </w:tr>
  </w:tbl>
  <w:p w:rsidR="00BE1B85" w:rsidRDefault="00BE1B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09" w:rsidRDefault="00E75D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09" w:rsidRDefault="00E75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7008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B63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F80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2F7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A88C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6B2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7011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F0C5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1E9688"/>
    <w:lvl w:ilvl="0">
      <w:start w:val="1"/>
      <w:numFmt w:val="decimal"/>
      <w:lvlText w:val="%1."/>
      <w:lvlJc w:val="left"/>
      <w:pPr>
        <w:tabs>
          <w:tab w:val="num" w:pos="360"/>
        </w:tabs>
        <w:ind w:left="360" w:hanging="360"/>
      </w:pPr>
    </w:lvl>
  </w:abstractNum>
  <w:abstractNum w:abstractNumId="9" w15:restartNumberingAfterBreak="0">
    <w:nsid w:val="02FF2834"/>
    <w:multiLevelType w:val="multilevel"/>
    <w:tmpl w:val="79B469F2"/>
    <w:lvl w:ilvl="0">
      <w:start w:val="1"/>
      <w:numFmt w:val="bullet"/>
      <w:lvlRestart w:val="0"/>
      <w:lvlText w:val=""/>
      <w:lvlJc w:val="left"/>
      <w:pPr>
        <w:tabs>
          <w:tab w:val="num" w:pos="1296"/>
        </w:tabs>
        <w:ind w:left="1296" w:hanging="576"/>
      </w:pPr>
      <w:rPr>
        <w:rFonts w:ascii="Symbol" w:hAnsi="Symbol" w:hint="default"/>
        <w:color w:val="auto"/>
      </w:rPr>
    </w:lvl>
    <w:lvl w:ilvl="1">
      <w:start w:val="1"/>
      <w:numFmt w:val="none"/>
      <w:suff w:val="nothing"/>
      <w:lvlText w:val=""/>
      <w:lvlJc w:val="left"/>
      <w:pPr>
        <w:ind w:left="1296" w:firstLine="0"/>
      </w:pPr>
      <w:rPr>
        <w:color w:val="auto"/>
      </w:rPr>
    </w:lvl>
    <w:lvl w:ilvl="2">
      <w:start w:val="1"/>
      <w:numFmt w:val="bullet"/>
      <w:lvlText w:val=""/>
      <w:lvlJc w:val="left"/>
      <w:pPr>
        <w:tabs>
          <w:tab w:val="num" w:pos="1872"/>
        </w:tabs>
        <w:ind w:left="1872" w:hanging="576"/>
      </w:pPr>
      <w:rPr>
        <w:rFonts w:ascii="Symbol" w:hAnsi="Symbol" w:hint="default"/>
        <w:color w:val="auto"/>
      </w:rPr>
    </w:lvl>
    <w:lvl w:ilvl="3">
      <w:start w:val="1"/>
      <w:numFmt w:val="none"/>
      <w:suff w:val="nothing"/>
      <w:lvlText w:val=""/>
      <w:lvlJc w:val="left"/>
      <w:pPr>
        <w:ind w:left="1872" w:firstLine="0"/>
      </w:pPr>
      <w:rPr>
        <w:color w:val="auto"/>
      </w:rPr>
    </w:lvl>
    <w:lvl w:ilvl="4">
      <w:start w:val="1"/>
      <w:numFmt w:val="none"/>
      <w:suff w:val="nothing"/>
      <w:lvlText w:val=""/>
      <w:lvlJc w:val="left"/>
      <w:pPr>
        <w:ind w:left="720" w:firstLine="0"/>
      </w:pPr>
      <w:rPr>
        <w:color w:val="auto"/>
      </w:rPr>
    </w:lvl>
    <w:lvl w:ilvl="5">
      <w:start w:val="1"/>
      <w:numFmt w:val="none"/>
      <w:suff w:val="nothing"/>
      <w:lvlText w:val=""/>
      <w:lvlJc w:val="left"/>
      <w:pPr>
        <w:ind w:left="720" w:firstLine="0"/>
      </w:pPr>
      <w:rPr>
        <w:color w:val="auto"/>
      </w:rPr>
    </w:lvl>
    <w:lvl w:ilvl="6">
      <w:start w:val="1"/>
      <w:numFmt w:val="none"/>
      <w:suff w:val="nothing"/>
      <w:lvlText w:val=""/>
      <w:lvlJc w:val="left"/>
      <w:pPr>
        <w:ind w:left="720" w:firstLine="0"/>
      </w:pPr>
      <w:rPr>
        <w:color w:val="auto"/>
      </w:rPr>
    </w:lvl>
    <w:lvl w:ilvl="7">
      <w:start w:val="1"/>
      <w:numFmt w:val="none"/>
      <w:suff w:val="nothing"/>
      <w:lvlText w:val=""/>
      <w:lvlJc w:val="left"/>
      <w:pPr>
        <w:ind w:left="720" w:firstLine="0"/>
      </w:pPr>
      <w:rPr>
        <w:color w:val="auto"/>
      </w:rPr>
    </w:lvl>
    <w:lvl w:ilvl="8">
      <w:start w:val="1"/>
      <w:numFmt w:val="none"/>
      <w:suff w:val="nothing"/>
      <w:lvlText w:val=""/>
      <w:lvlJc w:val="left"/>
      <w:pPr>
        <w:ind w:left="720" w:firstLine="0"/>
      </w:pPr>
      <w:rPr>
        <w:color w:val="auto"/>
      </w:rPr>
    </w:lvl>
  </w:abstractNum>
  <w:abstractNum w:abstractNumId="10" w15:restartNumberingAfterBreak="0">
    <w:nsid w:val="0C182D31"/>
    <w:multiLevelType w:val="hybridMultilevel"/>
    <w:tmpl w:val="C44AE3CC"/>
    <w:lvl w:ilvl="0" w:tplc="A6A6B494">
      <w:start w:val="1"/>
      <w:numFmt w:val="bullet"/>
      <w:pStyle w:val="NormalBullet"/>
      <w:lvlText w:val=""/>
      <w:lvlJc w:val="left"/>
      <w:pPr>
        <w:tabs>
          <w:tab w:val="num" w:pos="1429"/>
        </w:tabs>
        <w:ind w:left="1429" w:hanging="709"/>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C17D52"/>
    <w:multiLevelType w:val="multilevel"/>
    <w:tmpl w:val="C52CB244"/>
    <w:lvl w:ilvl="0">
      <w:start w:val="1"/>
      <w:numFmt w:val="decimal"/>
      <w:pStyle w:val="Heading1"/>
      <w:lvlText w:val="%1."/>
      <w:lvlJc w:val="left"/>
      <w:pPr>
        <w:tabs>
          <w:tab w:val="num" w:pos="720"/>
        </w:tabs>
        <w:ind w:left="720" w:hanging="720"/>
      </w:pPr>
    </w:lvl>
    <w:lvl w:ilvl="1">
      <w:start w:val="1"/>
      <w:numFmt w:val="decimal"/>
      <w:pStyle w:val="Heading2"/>
      <w:isLgl/>
      <w:lvlText w:val="%1.%2"/>
      <w:lvlJc w:val="left"/>
      <w:pPr>
        <w:tabs>
          <w:tab w:val="num" w:pos="720"/>
        </w:tabs>
        <w:ind w:left="720" w:hanging="720"/>
      </w:pPr>
      <w:rPr>
        <w:rFonts w:ascii="Arial" w:hAnsi="Arial" w:hint="default"/>
        <w:b/>
        <w:i w:val="0"/>
        <w:sz w:val="22"/>
      </w:rPr>
    </w:lvl>
    <w:lvl w:ilvl="2">
      <w:start w:val="1"/>
      <w:numFmt w:val="decimal"/>
      <w:pStyle w:val="Heading3"/>
      <w:isLgl/>
      <w:lvlText w:val="%1.%2.%3"/>
      <w:lvlJc w:val="left"/>
      <w:pPr>
        <w:tabs>
          <w:tab w:val="num" w:pos="720"/>
        </w:tabs>
        <w:ind w:left="720" w:hanging="720"/>
      </w:pPr>
      <w:rPr>
        <w:rFonts w:ascii="Arial" w:hAnsi="Arial" w:hint="default"/>
        <w:b w:val="0"/>
        <w:i w:val="0"/>
        <w:sz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5003713"/>
    <w:multiLevelType w:val="multilevel"/>
    <w:tmpl w:val="449EC574"/>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suff w:val="nothing"/>
      <w:lvlText w:val=""/>
      <w:lvlJc w:val="left"/>
      <w:pPr>
        <w:ind w:left="576" w:firstLine="0"/>
      </w:pPr>
      <w:rPr>
        <w:color w:val="auto"/>
      </w:rPr>
    </w:lvl>
    <w:lvl w:ilvl="2">
      <w:start w:val="1"/>
      <w:numFmt w:val="bullet"/>
      <w:lvlText w:val=""/>
      <w:lvlJc w:val="left"/>
      <w:pPr>
        <w:tabs>
          <w:tab w:val="num" w:pos="1152"/>
        </w:tabs>
        <w:ind w:left="1152" w:hanging="576"/>
      </w:pPr>
      <w:rPr>
        <w:rFonts w:ascii="Symbol" w:hAnsi="Symbol" w:hint="default"/>
        <w:color w:val="auto"/>
      </w:rPr>
    </w:lvl>
    <w:lvl w:ilvl="3">
      <w:start w:val="1"/>
      <w:numFmt w:val="none"/>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3" w15:restartNumberingAfterBreak="0">
    <w:nsid w:val="782D1F33"/>
    <w:multiLevelType w:val="multilevel"/>
    <w:tmpl w:val="819CD84C"/>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rPr>
        <w:rFonts w:ascii="Arial" w:hAnsi="Arial" w:hint="default"/>
        <w:b/>
        <w:i w:val="0"/>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7C617437"/>
    <w:multiLevelType w:val="multilevel"/>
    <w:tmpl w:val="3B629670"/>
    <w:lvl w:ilvl="0">
      <w:start w:val="1"/>
      <w:numFmt w:val="decimal"/>
      <w:lvlText w:val="%1."/>
      <w:lvlJc w:val="left"/>
      <w:pPr>
        <w:tabs>
          <w:tab w:val="num" w:pos="720"/>
        </w:tabs>
        <w:ind w:left="720" w:hanging="720"/>
      </w:pPr>
      <w:rPr>
        <w:rFonts w:ascii="Arial" w:hAnsi="Arial" w:hint="default"/>
        <w:b/>
        <w:i w:val="0"/>
        <w:sz w:val="24"/>
        <w:u w:val="none"/>
      </w:rPr>
    </w:lvl>
    <w:lvl w:ilvl="1">
      <w:start w:val="1"/>
      <w:numFmt w:val="decimal"/>
      <w:lvlText w:val="%1.%2."/>
      <w:lvlJc w:val="left"/>
      <w:pPr>
        <w:tabs>
          <w:tab w:val="num" w:pos="720"/>
        </w:tabs>
        <w:ind w:left="720" w:hanging="720"/>
      </w:pPr>
      <w:rPr>
        <w:b/>
        <w:i w:val="0"/>
        <w:u w:val="none"/>
      </w:rPr>
    </w:lvl>
    <w:lvl w:ilvl="2">
      <w:start w:val="1"/>
      <w:numFmt w:val="decimal"/>
      <w:lvlText w:val="%1.%2.%3."/>
      <w:lvlJc w:val="left"/>
      <w:pPr>
        <w:tabs>
          <w:tab w:val="num" w:pos="720"/>
        </w:tabs>
        <w:ind w:left="720" w:hanging="720"/>
      </w:pPr>
      <w:rPr>
        <w:u w:val="none"/>
      </w:rPr>
    </w:lvl>
    <w:lvl w:ilvl="3">
      <w:start w:val="1"/>
      <w:numFmt w:val="decimal"/>
      <w:lvlText w:val="%1.%2.%3.%4."/>
      <w:lvlJc w:val="left"/>
      <w:pPr>
        <w:tabs>
          <w:tab w:val="num" w:pos="1134"/>
        </w:tabs>
        <w:ind w:left="1134" w:hanging="1134"/>
      </w:pPr>
      <w:rPr>
        <w:u w:val="none"/>
      </w:rPr>
    </w:lvl>
    <w:lvl w:ilvl="4">
      <w:start w:val="1"/>
      <w:numFmt w:val="decimal"/>
      <w:lvlText w:val="%1.%2.%3.%4.%5."/>
      <w:lvlJc w:val="left"/>
      <w:pPr>
        <w:tabs>
          <w:tab w:val="num" w:pos="1134"/>
        </w:tabs>
        <w:ind w:left="1134" w:hanging="1134"/>
      </w:pPr>
      <w:rPr>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10"/>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SortMethod w:val="00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0B"/>
    <w:rsid w:val="001B06AD"/>
    <w:rsid w:val="001B4967"/>
    <w:rsid w:val="001B4CEA"/>
    <w:rsid w:val="001D7E4A"/>
    <w:rsid w:val="001F01A9"/>
    <w:rsid w:val="002023E4"/>
    <w:rsid w:val="00237BD3"/>
    <w:rsid w:val="00321DC1"/>
    <w:rsid w:val="00347E9D"/>
    <w:rsid w:val="003B1D99"/>
    <w:rsid w:val="005B0479"/>
    <w:rsid w:val="00643C78"/>
    <w:rsid w:val="00673983"/>
    <w:rsid w:val="006F48CF"/>
    <w:rsid w:val="00734C31"/>
    <w:rsid w:val="00850FEF"/>
    <w:rsid w:val="008624B9"/>
    <w:rsid w:val="008C3879"/>
    <w:rsid w:val="008E2A42"/>
    <w:rsid w:val="0093334D"/>
    <w:rsid w:val="009456BF"/>
    <w:rsid w:val="009D5A42"/>
    <w:rsid w:val="00A34D5D"/>
    <w:rsid w:val="00A45EBE"/>
    <w:rsid w:val="00AD2DDA"/>
    <w:rsid w:val="00B26E0B"/>
    <w:rsid w:val="00BE1B85"/>
    <w:rsid w:val="00C05353"/>
    <w:rsid w:val="00C86B27"/>
    <w:rsid w:val="00D13EBC"/>
    <w:rsid w:val="00D654B6"/>
    <w:rsid w:val="00D80BF6"/>
    <w:rsid w:val="00DA10E1"/>
    <w:rsid w:val="00E75D09"/>
    <w:rsid w:val="00F11349"/>
    <w:rsid w:val="00F1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B34BEBF4-DBA3-4D6A-8A22-0C8036F5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D5D"/>
    <w:pPr>
      <w:spacing w:after="120"/>
    </w:pPr>
    <w:rPr>
      <w:rFonts w:ascii="Arial" w:eastAsia="Times New Roman" w:hAnsi="Arial"/>
      <w:sz w:val="22"/>
      <w:lang w:eastAsia="en-US"/>
    </w:rPr>
  </w:style>
  <w:style w:type="paragraph" w:styleId="Heading1">
    <w:name w:val="heading 1"/>
    <w:basedOn w:val="Normal"/>
    <w:next w:val="NormalIndent"/>
    <w:link w:val="Heading1Char"/>
    <w:qFormat/>
    <w:rsid w:val="00B26E0B"/>
    <w:pPr>
      <w:keepNext/>
      <w:numPr>
        <w:numId w:val="1"/>
      </w:numPr>
      <w:spacing w:before="240"/>
      <w:outlineLvl w:val="0"/>
    </w:pPr>
    <w:rPr>
      <w:b/>
      <w:caps/>
      <w:kern w:val="28"/>
      <w:sz w:val="24"/>
    </w:rPr>
  </w:style>
  <w:style w:type="paragraph" w:styleId="Heading2">
    <w:name w:val="heading 2"/>
    <w:basedOn w:val="Normal"/>
    <w:next w:val="NormalIndent"/>
    <w:link w:val="Heading2Char"/>
    <w:qFormat/>
    <w:rsid w:val="00B26E0B"/>
    <w:pPr>
      <w:keepNext/>
      <w:numPr>
        <w:ilvl w:val="1"/>
        <w:numId w:val="1"/>
      </w:numPr>
      <w:spacing w:before="240" w:after="60"/>
      <w:jc w:val="both"/>
      <w:outlineLvl w:val="1"/>
    </w:pPr>
    <w:rPr>
      <w:b/>
    </w:rPr>
  </w:style>
  <w:style w:type="paragraph" w:styleId="Heading3">
    <w:name w:val="heading 3"/>
    <w:basedOn w:val="Normal"/>
    <w:next w:val="NormalIndent"/>
    <w:link w:val="Heading3Char"/>
    <w:qFormat/>
    <w:rsid w:val="00B26E0B"/>
    <w:pPr>
      <w:numPr>
        <w:ilvl w:val="2"/>
        <w:numId w:val="1"/>
      </w:numPr>
      <w:spacing w:before="240" w:after="6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E0B"/>
    <w:rPr>
      <w:rFonts w:ascii="Arial" w:eastAsia="Times New Roman" w:hAnsi="Arial" w:cs="Times New Roman"/>
      <w:b/>
      <w:caps/>
      <w:kern w:val="28"/>
      <w:sz w:val="24"/>
      <w:szCs w:val="20"/>
    </w:rPr>
  </w:style>
  <w:style w:type="character" w:customStyle="1" w:styleId="Heading2Char">
    <w:name w:val="Heading 2 Char"/>
    <w:basedOn w:val="DefaultParagraphFont"/>
    <w:link w:val="Heading2"/>
    <w:rsid w:val="00B26E0B"/>
    <w:rPr>
      <w:rFonts w:ascii="Arial" w:eastAsia="Times New Roman" w:hAnsi="Arial" w:cs="Times New Roman"/>
      <w:b/>
      <w:szCs w:val="20"/>
    </w:rPr>
  </w:style>
  <w:style w:type="character" w:customStyle="1" w:styleId="Heading3Char">
    <w:name w:val="Heading 3 Char"/>
    <w:basedOn w:val="DefaultParagraphFont"/>
    <w:link w:val="Heading3"/>
    <w:rsid w:val="00B26E0B"/>
    <w:rPr>
      <w:rFonts w:ascii="Arial" w:eastAsia="Times New Roman" w:hAnsi="Arial" w:cs="Times New Roman"/>
      <w:szCs w:val="20"/>
    </w:rPr>
  </w:style>
  <w:style w:type="paragraph" w:styleId="NormalIndent">
    <w:name w:val="Normal Indent"/>
    <w:basedOn w:val="Normal"/>
    <w:rsid w:val="00B26E0B"/>
    <w:pPr>
      <w:ind w:left="720"/>
      <w:jc w:val="both"/>
    </w:pPr>
  </w:style>
  <w:style w:type="paragraph" w:styleId="CommentText">
    <w:name w:val="annotation text"/>
    <w:basedOn w:val="Normal"/>
    <w:link w:val="CommentTextChar"/>
    <w:semiHidden/>
    <w:rsid w:val="00B26E0B"/>
    <w:pPr>
      <w:widowControl w:val="0"/>
      <w:spacing w:after="0"/>
    </w:pPr>
    <w:rPr>
      <w:sz w:val="20"/>
      <w:lang w:val="en-US"/>
    </w:rPr>
  </w:style>
  <w:style w:type="character" w:customStyle="1" w:styleId="CommentTextChar">
    <w:name w:val="Comment Text Char"/>
    <w:basedOn w:val="DefaultParagraphFont"/>
    <w:link w:val="CommentText"/>
    <w:semiHidden/>
    <w:rsid w:val="00B26E0B"/>
    <w:rPr>
      <w:rFonts w:ascii="Arial" w:eastAsia="Times New Roman" w:hAnsi="Arial" w:cs="Times New Roman"/>
      <w:sz w:val="20"/>
      <w:szCs w:val="20"/>
      <w:lang w:val="en-US"/>
    </w:rPr>
  </w:style>
  <w:style w:type="paragraph" w:customStyle="1" w:styleId="NormalBullet">
    <w:name w:val="Normal Bullet"/>
    <w:basedOn w:val="NormalIndent"/>
    <w:rsid w:val="00B26E0B"/>
    <w:pPr>
      <w:numPr>
        <w:numId w:val="2"/>
      </w:numPr>
    </w:pPr>
  </w:style>
  <w:style w:type="paragraph" w:customStyle="1" w:styleId="TableText">
    <w:name w:val="Table Text"/>
    <w:basedOn w:val="Normal"/>
    <w:rsid w:val="00B26E0B"/>
    <w:pPr>
      <w:spacing w:before="40" w:after="40"/>
    </w:pPr>
    <w:rPr>
      <w:b/>
      <w:szCs w:val="22"/>
    </w:rPr>
  </w:style>
  <w:style w:type="paragraph" w:styleId="Footer">
    <w:name w:val="footer"/>
    <w:basedOn w:val="Normal"/>
    <w:link w:val="FooterChar"/>
    <w:semiHidden/>
    <w:rsid w:val="00F11349"/>
    <w:pPr>
      <w:tabs>
        <w:tab w:val="center" w:pos="4153"/>
        <w:tab w:val="right" w:pos="8306"/>
      </w:tabs>
      <w:spacing w:after="0"/>
    </w:pPr>
  </w:style>
  <w:style w:type="character" w:customStyle="1" w:styleId="FooterChar">
    <w:name w:val="Footer Char"/>
    <w:basedOn w:val="DefaultParagraphFont"/>
    <w:link w:val="Footer"/>
    <w:semiHidden/>
    <w:rsid w:val="00F11349"/>
    <w:rPr>
      <w:rFonts w:ascii="Arial" w:eastAsia="Times New Roman" w:hAnsi="Arial"/>
      <w:sz w:val="22"/>
      <w:lang w:eastAsia="en-US"/>
    </w:rPr>
  </w:style>
  <w:style w:type="character" w:styleId="Hyperlink">
    <w:name w:val="Hyperlink"/>
    <w:basedOn w:val="DefaultParagraphFont"/>
    <w:rsid w:val="00F11349"/>
    <w:rPr>
      <w:color w:val="0000FF"/>
      <w:u w:val="single"/>
    </w:rPr>
  </w:style>
  <w:style w:type="paragraph" w:styleId="TOC1">
    <w:name w:val="toc 1"/>
    <w:basedOn w:val="Normal"/>
    <w:next w:val="Normal"/>
    <w:autoRedefine/>
    <w:semiHidden/>
    <w:rsid w:val="00F11349"/>
    <w:pPr>
      <w:tabs>
        <w:tab w:val="left" w:pos="480"/>
        <w:tab w:val="right" w:leader="dot" w:pos="9548"/>
      </w:tabs>
      <w:spacing w:before="40" w:after="40"/>
    </w:pPr>
    <w:rPr>
      <w:caps/>
      <w:sz w:val="24"/>
    </w:rPr>
  </w:style>
  <w:style w:type="paragraph" w:styleId="Header">
    <w:name w:val="header"/>
    <w:basedOn w:val="Normal"/>
    <w:link w:val="HeaderChar"/>
    <w:semiHidden/>
    <w:unhideWhenUsed/>
    <w:rsid w:val="00F11349"/>
    <w:pPr>
      <w:tabs>
        <w:tab w:val="center" w:pos="4513"/>
        <w:tab w:val="right" w:pos="9026"/>
      </w:tabs>
    </w:pPr>
  </w:style>
  <w:style w:type="character" w:customStyle="1" w:styleId="HeaderChar">
    <w:name w:val="Header Char"/>
    <w:basedOn w:val="DefaultParagraphFont"/>
    <w:link w:val="Header"/>
    <w:uiPriority w:val="99"/>
    <w:semiHidden/>
    <w:rsid w:val="00F11349"/>
    <w:rPr>
      <w:rFonts w:ascii="Arial" w:eastAsia="Times New Roman" w:hAnsi="Arial"/>
      <w:sz w:val="22"/>
      <w:lang w:eastAsia="en-US"/>
    </w:rPr>
  </w:style>
  <w:style w:type="paragraph" w:styleId="TOC9">
    <w:name w:val="toc 9"/>
    <w:basedOn w:val="Normal"/>
    <w:next w:val="Normal"/>
    <w:autoRedefine/>
    <w:semiHidden/>
    <w:rsid w:val="001B4CEA"/>
    <w:pPr>
      <w:spacing w:after="0"/>
      <w:ind w:left="1760"/>
    </w:pPr>
  </w:style>
  <w:style w:type="character" w:styleId="PageNumber">
    <w:name w:val="page number"/>
    <w:basedOn w:val="DefaultParagraphFont"/>
    <w:semiHidden/>
    <w:rsid w:val="00347E9D"/>
  </w:style>
  <w:style w:type="paragraph" w:customStyle="1" w:styleId="tracmac">
    <w:name w:val="tracmac"/>
    <w:basedOn w:val="Normal"/>
    <w:unhideWhenUsed/>
    <w:rsid w:val="00A34D5D"/>
    <w:pPr>
      <w:spacing w:before="60" w:after="60"/>
    </w:pPr>
    <w:rPr>
      <w:sz w:val="24"/>
    </w:rPr>
  </w:style>
  <w:style w:type="paragraph" w:styleId="ListBullet">
    <w:name w:val="List Bullet"/>
    <w:basedOn w:val="Normal"/>
    <w:autoRedefine/>
    <w:semiHidden/>
    <w:unhideWhenUsed/>
    <w:rsid w:val="00BE1B8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857538">
      <w:bodyDiv w:val="1"/>
      <w:marLeft w:val="0"/>
      <w:marRight w:val="0"/>
      <w:marTop w:val="0"/>
      <w:marBottom w:val="0"/>
      <w:divBdr>
        <w:top w:val="none" w:sz="0" w:space="0" w:color="auto"/>
        <w:left w:val="none" w:sz="0" w:space="0" w:color="auto"/>
        <w:bottom w:val="none" w:sz="0" w:space="0" w:color="auto"/>
        <w:right w:val="none" w:sz="0" w:space="0" w:color="auto"/>
      </w:divBdr>
    </w:div>
    <w:div w:id="176896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3597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Watson</dc:creator>
  <cp:keywords/>
  <dc:description/>
  <cp:lastModifiedBy>Gaelle Jolly</cp:lastModifiedBy>
  <cp:revision>2</cp:revision>
  <dcterms:created xsi:type="dcterms:W3CDTF">2018-01-18T15:30:00Z</dcterms:created>
  <dcterms:modified xsi:type="dcterms:W3CDTF">2018-01-18T15:30:00Z</dcterms:modified>
</cp:coreProperties>
</file>